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87" w:rsidRDefault="00282387" w:rsidP="00282387">
      <w:pPr>
        <w:jc w:val="right"/>
        <w:rPr>
          <w:b/>
          <w:sz w:val="20"/>
          <w:szCs w:val="20"/>
        </w:rPr>
      </w:pPr>
      <w:r w:rsidRPr="00BE356D">
        <w:rPr>
          <w:b/>
          <w:sz w:val="20"/>
          <w:szCs w:val="20"/>
        </w:rPr>
        <w:t>3750 - Subvenciones para Campos de Voluntariado Juvenil en la Región de Murcia</w:t>
      </w:r>
    </w:p>
    <w:p w:rsidR="00282387" w:rsidRDefault="00282387" w:rsidP="00282387">
      <w:pPr>
        <w:jc w:val="right"/>
        <w:rPr>
          <w:b/>
          <w:sz w:val="20"/>
          <w:szCs w:val="20"/>
        </w:rPr>
      </w:pPr>
      <w:r w:rsidRPr="00BE356D">
        <w:rPr>
          <w:b/>
          <w:sz w:val="20"/>
          <w:szCs w:val="20"/>
        </w:rPr>
        <w:t>Tel. información 968362000/012</w:t>
      </w:r>
    </w:p>
    <w:p w:rsidR="00282387" w:rsidRDefault="00282387" w:rsidP="0028238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82387" w:rsidRDefault="00282387" w:rsidP="00282387">
      <w:pPr>
        <w:jc w:val="center"/>
        <w:rPr>
          <w:b/>
          <w:sz w:val="24"/>
          <w:szCs w:val="24"/>
        </w:rPr>
      </w:pPr>
      <w:r w:rsidRPr="00503CA0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 xml:space="preserve"> - DECLARACIÓN RESPONSABLE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346"/>
        <w:gridCol w:w="5884"/>
        <w:gridCol w:w="992"/>
        <w:gridCol w:w="1701"/>
      </w:tblGrid>
      <w:tr w:rsidR="00282387" w:rsidRPr="00C33B37" w:rsidTr="00500701">
        <w:tc>
          <w:tcPr>
            <w:tcW w:w="1346" w:type="dxa"/>
            <w:shd w:val="clear" w:color="auto" w:fill="7F7F7F" w:themeFill="text1" w:themeFillTint="80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 w:rsidRPr="00C33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77" w:type="dxa"/>
            <w:gridSpan w:val="3"/>
            <w:shd w:val="clear" w:color="auto" w:fill="F2F2F2" w:themeFill="background1" w:themeFillShade="F2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  <w:r w:rsidRPr="00C33B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C.I.F.</w:t>
            </w:r>
          </w:p>
        </w:tc>
      </w:tr>
      <w:tr w:rsidR="00282387" w:rsidTr="00500701">
        <w:tc>
          <w:tcPr>
            <w:tcW w:w="7230" w:type="dxa"/>
            <w:gridSpan w:val="2"/>
          </w:tcPr>
          <w:p w:rsidR="00282387" w:rsidRDefault="00282387" w:rsidP="0050070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82387" w:rsidRDefault="00282387" w:rsidP="00500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387" w:rsidRPr="00C33B37" w:rsidTr="00500701">
        <w:tc>
          <w:tcPr>
            <w:tcW w:w="1346" w:type="dxa"/>
            <w:shd w:val="clear" w:color="auto" w:fill="7F7F7F" w:themeFill="text1" w:themeFillTint="80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77" w:type="dxa"/>
            <w:gridSpan w:val="3"/>
            <w:shd w:val="clear" w:color="auto" w:fill="F2F2F2" w:themeFill="background1" w:themeFillShade="F2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</w:t>
            </w:r>
            <w:r w:rsidRPr="00C33B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N.I.F.</w:t>
            </w:r>
          </w:p>
        </w:tc>
      </w:tr>
      <w:tr w:rsidR="00282387" w:rsidTr="00500701">
        <w:tc>
          <w:tcPr>
            <w:tcW w:w="7230" w:type="dxa"/>
            <w:gridSpan w:val="2"/>
          </w:tcPr>
          <w:p w:rsidR="00282387" w:rsidRDefault="00282387" w:rsidP="0050070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82387" w:rsidRDefault="00282387" w:rsidP="00500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387" w:rsidRPr="00C33B37" w:rsidTr="00500701">
        <w:tc>
          <w:tcPr>
            <w:tcW w:w="1346" w:type="dxa"/>
            <w:shd w:val="clear" w:color="auto" w:fill="7F7F7F" w:themeFill="text1" w:themeFillTint="80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77" w:type="dxa"/>
            <w:gridSpan w:val="3"/>
            <w:shd w:val="clear" w:color="auto" w:fill="F2F2F2" w:themeFill="background1" w:themeFillShade="F2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LÍNEA DE SUVENCIÓN SOLICITADA</w:t>
            </w:r>
            <w:r w:rsidRPr="00C33B37">
              <w:rPr>
                <w:b/>
                <w:sz w:val="20"/>
                <w:szCs w:val="20"/>
              </w:rPr>
              <w:t>:</w:t>
            </w:r>
          </w:p>
        </w:tc>
      </w:tr>
      <w:tr w:rsidR="00282387" w:rsidTr="00500701">
        <w:tc>
          <w:tcPr>
            <w:tcW w:w="8222" w:type="dxa"/>
            <w:gridSpan w:val="3"/>
          </w:tcPr>
          <w:p w:rsidR="00282387" w:rsidRDefault="00282387" w:rsidP="005007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2387" w:rsidRDefault="00282387" w:rsidP="00500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387" w:rsidTr="00500701">
        <w:tc>
          <w:tcPr>
            <w:tcW w:w="8222" w:type="dxa"/>
            <w:gridSpan w:val="3"/>
          </w:tcPr>
          <w:p w:rsidR="00282387" w:rsidRPr="00DB2712" w:rsidRDefault="00282387" w:rsidP="005007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387" w:rsidRDefault="00282387" w:rsidP="00500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2387" w:rsidRPr="00C33B37" w:rsidTr="00500701">
        <w:tc>
          <w:tcPr>
            <w:tcW w:w="1346" w:type="dxa"/>
            <w:shd w:val="clear" w:color="auto" w:fill="7F7F7F" w:themeFill="text1" w:themeFillTint="80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7" w:type="dxa"/>
            <w:gridSpan w:val="3"/>
            <w:shd w:val="clear" w:color="auto" w:fill="F2F2F2" w:themeFill="background1" w:themeFillShade="F2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MODALIDAD Y </w:t>
            </w:r>
            <w:r w:rsidRPr="00C33B37">
              <w:rPr>
                <w:b/>
                <w:sz w:val="20"/>
                <w:szCs w:val="20"/>
              </w:rPr>
              <w:t>DENOMINACIÓN DEL PROYECTO</w:t>
            </w:r>
          </w:p>
        </w:tc>
      </w:tr>
      <w:tr w:rsidR="00282387" w:rsidRPr="00C33B37" w:rsidTr="00500701">
        <w:tc>
          <w:tcPr>
            <w:tcW w:w="9923" w:type="dxa"/>
            <w:gridSpan w:val="4"/>
          </w:tcPr>
          <w:p w:rsidR="00282387" w:rsidRPr="00C33B37" w:rsidRDefault="00282387" w:rsidP="00500701">
            <w:pPr>
              <w:rPr>
                <w:sz w:val="20"/>
                <w:szCs w:val="20"/>
              </w:rPr>
            </w:pPr>
          </w:p>
          <w:p w:rsidR="00282387" w:rsidRPr="00C33B37" w:rsidRDefault="00282387" w:rsidP="00500701">
            <w:pPr>
              <w:rPr>
                <w:sz w:val="20"/>
                <w:szCs w:val="20"/>
              </w:rPr>
            </w:pPr>
          </w:p>
        </w:tc>
      </w:tr>
      <w:tr w:rsidR="00282387" w:rsidRPr="00C33B37" w:rsidTr="00500701">
        <w:tc>
          <w:tcPr>
            <w:tcW w:w="1346" w:type="dxa"/>
            <w:shd w:val="clear" w:color="auto" w:fill="7F7F7F" w:themeFill="text1" w:themeFillTint="80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77" w:type="dxa"/>
            <w:gridSpan w:val="3"/>
            <w:shd w:val="clear" w:color="auto" w:fill="F2F2F2" w:themeFill="background1" w:themeFillShade="F2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 w:rsidRPr="00C33B37">
              <w:rPr>
                <w:b/>
                <w:sz w:val="20"/>
                <w:szCs w:val="20"/>
              </w:rPr>
              <w:t>DOCUMENTACIÓN QUE SE ADJUNTA</w:t>
            </w:r>
          </w:p>
        </w:tc>
      </w:tr>
      <w:tr w:rsidR="00282387" w:rsidRPr="00C33B37" w:rsidTr="00500701">
        <w:tc>
          <w:tcPr>
            <w:tcW w:w="9923" w:type="dxa"/>
            <w:gridSpan w:val="4"/>
          </w:tcPr>
          <w:p w:rsidR="00282387" w:rsidRDefault="00282387" w:rsidP="00282387">
            <w:pPr>
              <w:pStyle w:val="Prrafodelista"/>
              <w:numPr>
                <w:ilvl w:val="1"/>
                <w:numId w:val="1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entidad bancaria con el nº de IBAN en el que deba efectuarse el ingreso de la subvención.</w:t>
            </w:r>
          </w:p>
          <w:p w:rsidR="00282387" w:rsidRPr="00DB2712" w:rsidRDefault="00282387" w:rsidP="00282387">
            <w:pPr>
              <w:pStyle w:val="Prrafodelista"/>
              <w:numPr>
                <w:ilvl w:val="1"/>
                <w:numId w:val="1"/>
              </w:numPr>
              <w:spacing w:line="256" w:lineRule="auto"/>
              <w:rPr>
                <w:sz w:val="20"/>
                <w:szCs w:val="20"/>
              </w:rPr>
            </w:pPr>
          </w:p>
          <w:p w:rsidR="00282387" w:rsidRPr="00C33B37" w:rsidRDefault="00282387" w:rsidP="00500701">
            <w:pPr>
              <w:rPr>
                <w:sz w:val="20"/>
                <w:szCs w:val="20"/>
              </w:rPr>
            </w:pPr>
          </w:p>
        </w:tc>
      </w:tr>
      <w:tr w:rsidR="00282387" w:rsidRPr="00C33B37" w:rsidTr="00500701">
        <w:tc>
          <w:tcPr>
            <w:tcW w:w="1346" w:type="dxa"/>
            <w:shd w:val="clear" w:color="auto" w:fill="7F7F7F" w:themeFill="text1" w:themeFillTint="80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7" w:type="dxa"/>
            <w:gridSpan w:val="3"/>
            <w:shd w:val="clear" w:color="auto" w:fill="F2F2F2" w:themeFill="background1" w:themeFillShade="F2"/>
          </w:tcPr>
          <w:p w:rsidR="00282387" w:rsidRPr="00C33B37" w:rsidRDefault="00282387" w:rsidP="00500701">
            <w:pPr>
              <w:rPr>
                <w:b/>
                <w:sz w:val="20"/>
                <w:szCs w:val="20"/>
              </w:rPr>
            </w:pPr>
            <w:r w:rsidRPr="00C33B37">
              <w:rPr>
                <w:b/>
                <w:sz w:val="20"/>
                <w:szCs w:val="20"/>
              </w:rPr>
              <w:t>IBAN / CÓDIGO DE CUENTA BANCARIA DONDE HACER EL INGRESO DE LA SUBVENCIÓN</w:t>
            </w:r>
          </w:p>
        </w:tc>
      </w:tr>
      <w:tr w:rsidR="00282387" w:rsidRPr="00C33B37" w:rsidTr="00500701">
        <w:tc>
          <w:tcPr>
            <w:tcW w:w="9923" w:type="dxa"/>
            <w:gridSpan w:val="4"/>
          </w:tcPr>
          <w:p w:rsidR="00282387" w:rsidRPr="00C33B37" w:rsidRDefault="00282387" w:rsidP="00500701">
            <w:pPr>
              <w:rPr>
                <w:sz w:val="20"/>
                <w:szCs w:val="20"/>
              </w:rPr>
            </w:pPr>
          </w:p>
          <w:p w:rsidR="00282387" w:rsidRPr="00C33B37" w:rsidRDefault="00282387" w:rsidP="00500701">
            <w:pPr>
              <w:rPr>
                <w:sz w:val="20"/>
                <w:szCs w:val="20"/>
              </w:rPr>
            </w:pPr>
          </w:p>
        </w:tc>
      </w:tr>
    </w:tbl>
    <w:p w:rsidR="00282387" w:rsidRDefault="00282387" w:rsidP="00282387"/>
    <w:p w:rsidR="00282387" w:rsidRPr="00E67081" w:rsidRDefault="00282387" w:rsidP="00282387">
      <w:pPr>
        <w:spacing w:after="0"/>
        <w:ind w:left="-425"/>
        <w:jc w:val="both"/>
        <w:rPr>
          <w:rFonts w:eastAsia="Arial" w:cstheme="minorHAnsi"/>
          <w:sz w:val="20"/>
          <w:szCs w:val="20"/>
        </w:rPr>
      </w:pPr>
      <w:r w:rsidRPr="00E67081">
        <w:rPr>
          <w:rFonts w:eastAsia="Arial" w:cstheme="minorHAnsi"/>
          <w:b/>
          <w:sz w:val="20"/>
          <w:szCs w:val="20"/>
        </w:rPr>
        <w:t>DECLARA</w:t>
      </w:r>
      <w:r w:rsidRPr="00E67081">
        <w:rPr>
          <w:rFonts w:eastAsia="Arial" w:cstheme="minorHAnsi"/>
          <w:sz w:val="20"/>
          <w:szCs w:val="20"/>
        </w:rPr>
        <w:t xml:space="preserve"> que cumple con todos los requisitos establecidos en la Orden de 6 de octubre de 2020, de la Consejería de Turismo, Juventud y Deportes, por la que se aprueban las bases reguladoras para la concesión de subvenciones en régimen de concurrencia competitiva</w:t>
      </w:r>
      <w:r w:rsidRPr="00557B63">
        <w:rPr>
          <w:rFonts w:eastAsia="Arial" w:cstheme="minorHAnsi"/>
        </w:rPr>
        <w:t xml:space="preserve"> </w:t>
      </w:r>
      <w:r w:rsidRPr="002160B0">
        <w:rPr>
          <w:rFonts w:eastAsia="Arial" w:cstheme="minorHAnsi"/>
          <w:sz w:val="20"/>
          <w:szCs w:val="20"/>
        </w:rPr>
        <w:t>para proyectos del programa Campos de voluntariado juvenil</w:t>
      </w:r>
      <w:r>
        <w:rPr>
          <w:rFonts w:eastAsia="Arial" w:cstheme="minorHAnsi"/>
        </w:rPr>
        <w:t xml:space="preserve"> en la región de Murcia</w:t>
      </w:r>
      <w:r w:rsidRPr="00E67081">
        <w:rPr>
          <w:rFonts w:eastAsia="Arial" w:cstheme="minorHAnsi"/>
          <w:sz w:val="20"/>
          <w:szCs w:val="20"/>
        </w:rPr>
        <w:t xml:space="preserve"> (BORM Número 23</w:t>
      </w:r>
      <w:r>
        <w:rPr>
          <w:rFonts w:eastAsia="Arial" w:cstheme="minorHAnsi"/>
          <w:sz w:val="20"/>
          <w:szCs w:val="20"/>
        </w:rPr>
        <w:t>4 Jueves, 8 de octubre de 2020)</w:t>
      </w:r>
      <w:r w:rsidRPr="00E67081">
        <w:rPr>
          <w:rFonts w:eastAsia="Arial" w:cstheme="minorHAnsi"/>
          <w:sz w:val="20"/>
          <w:szCs w:val="20"/>
        </w:rPr>
        <w:t xml:space="preserve"> para que pueda ser aceptada y tramitada</w:t>
      </w:r>
      <w:r>
        <w:rPr>
          <w:rFonts w:eastAsia="Arial" w:cstheme="minorHAnsi"/>
          <w:sz w:val="20"/>
          <w:szCs w:val="20"/>
        </w:rPr>
        <w:t>, que dispongo de la documentación que así lo acredita y que mantendré el cumplimiento de mis obligaciones durante el periodo de tiempo inherente a su reconocimiento</w:t>
      </w:r>
      <w:r w:rsidRPr="00E67081">
        <w:rPr>
          <w:rFonts w:eastAsia="Arial" w:cstheme="minorHAnsi"/>
          <w:sz w:val="20"/>
          <w:szCs w:val="20"/>
        </w:rPr>
        <w:t>. Concretamente, de acuerdo a Real Decreto 887/2006</w:t>
      </w:r>
      <w:r>
        <w:rPr>
          <w:rFonts w:eastAsia="Arial" w:cstheme="minorHAnsi"/>
          <w:sz w:val="20"/>
          <w:szCs w:val="20"/>
        </w:rPr>
        <w:t xml:space="preserve">, de 21 de julio, por el que se aprueba </w:t>
      </w:r>
      <w:r w:rsidRPr="00E67081">
        <w:rPr>
          <w:rFonts w:eastAsia="Arial" w:cstheme="minorHAnsi"/>
          <w:sz w:val="20"/>
          <w:szCs w:val="20"/>
        </w:rPr>
        <w:t>el Reglamento de la Ley 38/2003, de 17 de noviembre, General de Subvenciones (B.O.E. 25 de julio 2006)</w:t>
      </w:r>
      <w:r>
        <w:rPr>
          <w:rFonts w:eastAsia="Arial" w:cstheme="minorHAnsi"/>
          <w:sz w:val="20"/>
          <w:szCs w:val="20"/>
        </w:rPr>
        <w:t xml:space="preserve"> declaro</w:t>
      </w:r>
      <w:r w:rsidRPr="00E67081">
        <w:rPr>
          <w:rFonts w:eastAsia="Arial" w:cstheme="minorHAnsi"/>
          <w:sz w:val="20"/>
          <w:szCs w:val="20"/>
        </w:rPr>
        <w:t xml:space="preserve">: </w:t>
      </w:r>
    </w:p>
    <w:p w:rsidR="00282387" w:rsidRPr="00E67081" w:rsidRDefault="00282387" w:rsidP="00282387">
      <w:pPr>
        <w:spacing w:after="0"/>
        <w:ind w:left="-425"/>
        <w:jc w:val="both"/>
        <w:rPr>
          <w:rFonts w:eastAsia="Arial" w:cstheme="minorHAnsi"/>
          <w:sz w:val="20"/>
          <w:szCs w:val="20"/>
        </w:rPr>
      </w:pPr>
      <w:r w:rsidRPr="00E67081">
        <w:rPr>
          <w:rFonts w:eastAsia="Arial" w:cstheme="minorHAnsi"/>
          <w:sz w:val="20"/>
          <w:szCs w:val="20"/>
        </w:rPr>
        <w:t xml:space="preserve">a) No tener deudas tributarias en periodo ejecutivo de pago con la Administración de la CARM, salvo que las deudas estén suspendidas o garantizadas. </w:t>
      </w:r>
    </w:p>
    <w:p w:rsidR="00282387" w:rsidRPr="00E67081" w:rsidRDefault="00282387" w:rsidP="00282387">
      <w:pPr>
        <w:spacing w:after="0"/>
        <w:ind w:left="-425"/>
        <w:jc w:val="both"/>
        <w:rPr>
          <w:rFonts w:eastAsia="Arial" w:cstheme="minorHAnsi"/>
          <w:sz w:val="20"/>
          <w:szCs w:val="20"/>
        </w:rPr>
      </w:pPr>
      <w:r w:rsidRPr="00E67081">
        <w:rPr>
          <w:rFonts w:eastAsia="Arial" w:cstheme="minorHAnsi"/>
          <w:sz w:val="20"/>
          <w:szCs w:val="20"/>
        </w:rPr>
        <w:t xml:space="preserve">b) Hallarse al corriente en el cumplimiento de sus obligaciones tributarias con el Estado, en los términos recogidos en el Artículo 18.1 </w:t>
      </w:r>
    </w:p>
    <w:p w:rsidR="00282387" w:rsidRPr="00E67081" w:rsidRDefault="00282387" w:rsidP="00282387">
      <w:pPr>
        <w:spacing w:after="0"/>
        <w:ind w:left="-425"/>
        <w:jc w:val="both"/>
        <w:rPr>
          <w:rFonts w:eastAsia="Arial" w:cstheme="minorHAnsi"/>
          <w:sz w:val="20"/>
          <w:szCs w:val="20"/>
        </w:rPr>
      </w:pPr>
      <w:r w:rsidRPr="00E67081">
        <w:rPr>
          <w:rFonts w:eastAsia="Arial" w:cstheme="minorHAnsi"/>
          <w:sz w:val="20"/>
          <w:szCs w:val="20"/>
        </w:rPr>
        <w:t xml:space="preserve">c) Hallarse al corriente en el cumplimiento de sus obligaciones frente a la Seguridad Social, en los términos recogidos en el Artículo 19.1 </w:t>
      </w:r>
    </w:p>
    <w:p w:rsidR="00282387" w:rsidRDefault="00282387" w:rsidP="00282387">
      <w:pPr>
        <w:spacing w:after="0"/>
        <w:ind w:left="-425"/>
        <w:jc w:val="both"/>
        <w:rPr>
          <w:rFonts w:cstheme="minorHAnsi"/>
          <w:sz w:val="20"/>
          <w:szCs w:val="20"/>
        </w:rPr>
      </w:pPr>
      <w:r w:rsidRPr="00E67081">
        <w:rPr>
          <w:rFonts w:eastAsia="Arial" w:cstheme="minorHAnsi"/>
          <w:sz w:val="20"/>
          <w:szCs w:val="20"/>
        </w:rPr>
        <w:t xml:space="preserve">d) No estar incurso en ninguna de las circunstancias a las que se refiere el Artículo 13 </w:t>
      </w:r>
      <w:r w:rsidRPr="00E67081">
        <w:rPr>
          <w:rFonts w:eastAsia="Times New Roman" w:cstheme="minorHAnsi"/>
          <w:color w:val="000000"/>
          <w:sz w:val="20"/>
          <w:szCs w:val="20"/>
          <w:lang w:val="x-none"/>
        </w:rPr>
        <w:t>de la Ley 38/2003, de 17 de noviembre, General de</w:t>
      </w:r>
      <w:r w:rsidRPr="00E67081">
        <w:rPr>
          <w:rFonts w:eastAsia="Arial" w:cstheme="minorHAnsi"/>
          <w:sz w:val="20"/>
          <w:szCs w:val="20"/>
        </w:rPr>
        <w:t xml:space="preserve"> </w:t>
      </w:r>
      <w:r w:rsidRPr="00E67081">
        <w:rPr>
          <w:rFonts w:eastAsia="Times New Roman" w:cstheme="minorHAnsi"/>
          <w:color w:val="000000"/>
          <w:sz w:val="20"/>
          <w:szCs w:val="20"/>
          <w:lang w:val="x-none"/>
        </w:rPr>
        <w:t>Subvenciones.</w:t>
      </w:r>
      <w:r w:rsidRPr="00E6708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67081">
        <w:rPr>
          <w:rFonts w:cstheme="minorHAnsi"/>
          <w:sz w:val="20"/>
          <w:szCs w:val="20"/>
        </w:rPr>
        <w:t>Disponer de capacidad y de los medios suficientes para desarrollar las actuaciones objeto de subvención.</w:t>
      </w:r>
    </w:p>
    <w:p w:rsidR="00282387" w:rsidRDefault="00282387" w:rsidP="00282387">
      <w:pPr>
        <w:spacing w:after="0"/>
        <w:ind w:left="-425"/>
        <w:jc w:val="both"/>
        <w:rPr>
          <w:sz w:val="20"/>
          <w:szCs w:val="20"/>
        </w:rPr>
      </w:pPr>
      <w:r w:rsidRPr="00E3230E">
        <w:rPr>
          <w:sz w:val="20"/>
          <w:szCs w:val="20"/>
        </w:rPr>
        <w:t xml:space="preserve">Que no concurre en mí ningún conflicto de interés que pueda comprometer mi imparcialidad e independencia durante el ejercicio de mis funciones en el seno del procedimiento, y me comprometo a poner en conocimiento del titular del órgano directivo del que dependo, de forma inmediata, cualquier potencial conflicto de intereses que pudiera producirse con posterioridad a la firma de la presente declaración, y mientras dure el </w:t>
      </w:r>
      <w:r w:rsidRPr="00E3230E">
        <w:rPr>
          <w:sz w:val="20"/>
          <w:szCs w:val="20"/>
        </w:rPr>
        <w:lastRenderedPageBreak/>
        <w:t>procedimiento de concesión, la comprobación de la justificación, el control o fiscalización de la ayuda o subvención y su reintegro, en su caso.</w:t>
      </w:r>
    </w:p>
    <w:p w:rsidR="00282387" w:rsidRDefault="00282387" w:rsidP="00282387">
      <w:pPr>
        <w:spacing w:after="0"/>
        <w:ind w:left="-425"/>
        <w:jc w:val="both"/>
        <w:rPr>
          <w:sz w:val="20"/>
          <w:szCs w:val="20"/>
        </w:rPr>
      </w:pPr>
    </w:p>
    <w:p w:rsidR="00282387" w:rsidRPr="00530A47" w:rsidRDefault="00282387" w:rsidP="00282387">
      <w:pPr>
        <w:ind w:left="-425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Que asume</w:t>
      </w:r>
      <w:r w:rsidRPr="00530A47">
        <w:rPr>
          <w:rFonts w:eastAsia="Arial" w:cstheme="minorHAnsi"/>
          <w:sz w:val="20"/>
          <w:szCs w:val="20"/>
        </w:rPr>
        <w:t xml:space="preserve"> el compromiso de cumplimiento del apartado VI del CÓDIGO DE CONDUCTA EN MATERIA DE SUBVENCIONES Y AYUDAS PÚBLICAS DE LA REGIÓN DE MURCIA, aprobado por Acuerdo de Consejo de Gobierno de fecha 29 de diciembre de 2021</w:t>
      </w:r>
      <w:r>
        <w:rPr>
          <w:rFonts w:eastAsia="Arial" w:cstheme="minorHAnsi"/>
          <w:sz w:val="20"/>
          <w:szCs w:val="20"/>
        </w:rPr>
        <w:t xml:space="preserve">, </w:t>
      </w:r>
      <w:r w:rsidRPr="00A733ED">
        <w:rPr>
          <w:rFonts w:eastAsia="Arial" w:cstheme="minorHAnsi"/>
          <w:sz w:val="20"/>
          <w:szCs w:val="20"/>
        </w:rPr>
        <w:t>publicado mediante Resolución de 13 de enero de 2022 de la Secretaría General de la Consejería de Transparencia, Seguridad y Emergencias (BORM nº 23, de 29 de enero de 2022).</w:t>
      </w:r>
      <w:r>
        <w:rPr>
          <w:rFonts w:eastAsia="Arial" w:cstheme="minorHAnsi"/>
          <w:sz w:val="20"/>
          <w:szCs w:val="20"/>
        </w:rPr>
        <w:t xml:space="preserve"> </w:t>
      </w:r>
      <w:hyperlink r:id="rId10" w:anchor="/home/anuncio/29-01-2022/380" w:history="1">
        <w:r w:rsidRPr="00F07BBC">
          <w:rPr>
            <w:rStyle w:val="Hipervnculo"/>
            <w:rFonts w:eastAsia="Arial" w:cstheme="minorHAnsi"/>
            <w:sz w:val="20"/>
            <w:szCs w:val="20"/>
          </w:rPr>
          <w:t>https://www.borm.es/#/home/anuncio/29-01-2022/380</w:t>
        </w:r>
      </w:hyperlink>
    </w:p>
    <w:p w:rsidR="00282387" w:rsidRDefault="00282387" w:rsidP="00282387">
      <w:pPr>
        <w:spacing w:after="0"/>
        <w:ind w:left="-426"/>
        <w:jc w:val="both"/>
        <w:rPr>
          <w:rFonts w:eastAsia="Arial" w:cstheme="minorHAnsi"/>
          <w:sz w:val="20"/>
          <w:szCs w:val="20"/>
        </w:rPr>
      </w:pPr>
      <w:r w:rsidRPr="00E67081">
        <w:rPr>
          <w:rFonts w:eastAsia="Arial" w:cstheme="minorHAnsi"/>
          <w:sz w:val="20"/>
          <w:szCs w:val="20"/>
        </w:rPr>
        <w:t>Que se compromete a seguir fielmente los protocolos y normas socio-sanitarias relativas a la COVID-19 promulgadas por la autoridad competente.</w:t>
      </w:r>
    </w:p>
    <w:p w:rsidR="00282387" w:rsidRDefault="00282387" w:rsidP="00282387">
      <w:pPr>
        <w:spacing w:after="0"/>
        <w:ind w:left="-426"/>
        <w:jc w:val="both"/>
        <w:rPr>
          <w:rFonts w:eastAsia="Arial" w:cstheme="minorHAnsi"/>
          <w:sz w:val="20"/>
          <w:szCs w:val="20"/>
        </w:rPr>
      </w:pPr>
    </w:p>
    <w:p w:rsidR="00282387" w:rsidRPr="0089657B" w:rsidRDefault="00282387" w:rsidP="00282387">
      <w:pPr>
        <w:spacing w:after="0"/>
        <w:ind w:left="-426"/>
        <w:jc w:val="both"/>
        <w:rPr>
          <w:rFonts w:eastAsia="Arial" w:cstheme="minorHAnsi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</w:t>
      </w:r>
      <w:r w:rsidRPr="00F6531F">
        <w:rPr>
          <w:rFonts w:eastAsia="Arial" w:cstheme="minorHAnsi"/>
          <w:w w:val="105"/>
          <w:sz w:val="24"/>
          <w:szCs w:val="24"/>
        </w:rPr>
        <w:t xml:space="preserve"> </w:t>
      </w:r>
      <w:r w:rsidRPr="0089657B">
        <w:rPr>
          <w:rFonts w:eastAsia="Arial" w:cstheme="minorHAnsi"/>
          <w:w w:val="105"/>
          <w:sz w:val="20"/>
          <w:szCs w:val="20"/>
        </w:rPr>
        <w:t>continuación, salvo que se oponga a la consulta</w:t>
      </w:r>
      <w:r w:rsidRPr="00F6531F">
        <w:rPr>
          <w:rFonts w:eastAsia="Arial" w:cstheme="minorHAnsi"/>
          <w:w w:val="105"/>
          <w:sz w:val="24"/>
          <w:szCs w:val="24"/>
        </w:rPr>
        <w:t>.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[  ] Me OPONGO* a la consulta de: Estar al corriente en el pago de obligaciones de la Tesorería General de la Seguridad Social. 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Asimismo, autoriza la consulta de los datos tributarios, excepto que expresamente no autorice la consulta.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[  ] NO AUTORIZO* la consulta de datos tributarios de: Estar al corriente de las obligaciones tributarias con la A.E.A.T., Estar al corriente con las obligaciones fiscales con la Administración tributaria  de la C.A.R.M. </w:t>
      </w:r>
    </w:p>
    <w:p w:rsidR="00282387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:rsidR="00282387" w:rsidRPr="0089657B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b/>
          <w:w w:val="105"/>
          <w:sz w:val="20"/>
          <w:szCs w:val="20"/>
        </w:rPr>
        <w:t>INFORMACIÓN SOBRE PROTECCIÓN DE DATOS</w:t>
      </w:r>
      <w:r>
        <w:rPr>
          <w:rFonts w:eastAsia="Arial" w:cstheme="minorHAnsi"/>
          <w:b/>
          <w:w w:val="105"/>
          <w:sz w:val="20"/>
          <w:szCs w:val="20"/>
        </w:rPr>
        <w:t xml:space="preserve"> </w:t>
      </w:r>
      <w:r w:rsidRPr="002E6BE3">
        <w:rPr>
          <w:rFonts w:eastAsia="Arial" w:cstheme="minorHAnsi"/>
          <w:b/>
          <w:w w:val="105"/>
          <w:sz w:val="20"/>
          <w:szCs w:val="20"/>
        </w:rPr>
        <w:t>(CÓDIGO 3457)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Reglamento general de protección de datos (RGPD) Reglamento (UE) 2016/679 del Parlamento Europeo y del Consejo, de 27 de abril de 2016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RESPONSABLE DEL TRATAMIENTO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Dirección General competente en materia de Juventud (juventud@carm.es)</w:t>
      </w:r>
      <w:r>
        <w:rPr>
          <w:rFonts w:eastAsia="Arial" w:cstheme="minorHAnsi"/>
          <w:w w:val="105"/>
          <w:sz w:val="20"/>
          <w:szCs w:val="20"/>
        </w:rPr>
        <w:t>.</w:t>
      </w:r>
      <w:r w:rsidRPr="00E67081">
        <w:rPr>
          <w:rFonts w:eastAsia="Arial" w:cstheme="minorHAnsi"/>
          <w:w w:val="105"/>
          <w:sz w:val="20"/>
          <w:szCs w:val="20"/>
        </w:rPr>
        <w:t> Delegado de protección de datos: I</w:t>
      </w:r>
      <w:r>
        <w:rPr>
          <w:rFonts w:eastAsia="Arial" w:cstheme="minorHAnsi"/>
          <w:w w:val="105"/>
          <w:sz w:val="20"/>
          <w:szCs w:val="20"/>
        </w:rPr>
        <w:t xml:space="preserve">nspección General de Servicios </w:t>
      </w:r>
      <w:r w:rsidRPr="00E67081">
        <w:rPr>
          <w:rFonts w:eastAsia="Arial" w:cstheme="minorHAnsi"/>
          <w:w w:val="105"/>
          <w:sz w:val="20"/>
          <w:szCs w:val="20"/>
        </w:rPr>
        <w:t>(dpdigs@listas.carm.es)</w:t>
      </w:r>
      <w:r>
        <w:rPr>
          <w:rFonts w:eastAsia="Arial" w:cstheme="minorHAnsi"/>
          <w:w w:val="105"/>
          <w:sz w:val="20"/>
          <w:szCs w:val="20"/>
        </w:rPr>
        <w:t>.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FINALIDAD DEL TRATAMIENTO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Tramitación y gestión de la Declaración responsable por la que se solicita subvención.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DERECHOS DE LAS PERSONAS INTERESADAS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Los interesados, Empresas y otras Entidades y Administración, tienen derecho de acceso, rectificación y supresión de datos.</w:t>
      </w:r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>PROCEDENCIA DE LOS DATOS</w:t>
      </w:r>
    </w:p>
    <w:p w:rsidR="00282387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E67081">
        <w:rPr>
          <w:rFonts w:eastAsia="Arial" w:cstheme="minorHAnsi"/>
          <w:w w:val="105"/>
          <w:sz w:val="20"/>
          <w:szCs w:val="20"/>
        </w:rPr>
        <w:t xml:space="preserve">Aportación de los </w:t>
      </w:r>
      <w:r>
        <w:rPr>
          <w:rFonts w:eastAsia="Arial" w:cstheme="minorHAnsi"/>
          <w:w w:val="105"/>
          <w:sz w:val="20"/>
          <w:szCs w:val="20"/>
        </w:rPr>
        <w:t xml:space="preserve">propios </w:t>
      </w:r>
      <w:r w:rsidRPr="00E67081">
        <w:rPr>
          <w:rFonts w:eastAsia="Arial" w:cstheme="minorHAnsi"/>
          <w:w w:val="105"/>
          <w:sz w:val="20"/>
          <w:szCs w:val="20"/>
        </w:rPr>
        <w:t>interesados. Datos básicos de identificación y contacto (nombre, apellidos, DNI/NIF, domicilio, dirección, teléfono, correo electrónico...) Datos Tributarios, patrimoniales, datos de ingresos de naturaleza pública, recaudación, impuestos, etc.</w:t>
      </w:r>
    </w:p>
    <w:p w:rsidR="00282387" w:rsidRPr="002E6BE3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>
        <w:rPr>
          <w:rFonts w:eastAsia="Arial" w:cstheme="minorHAnsi"/>
          <w:w w:val="105"/>
          <w:sz w:val="20"/>
          <w:szCs w:val="20"/>
        </w:rPr>
        <w:t>INFORMACIÓN ADICIONAL</w:t>
      </w:r>
      <w:r w:rsidRPr="002E6BE3">
        <w:rPr>
          <w:rFonts w:eastAsia="Arial" w:cstheme="minorHAnsi"/>
          <w:w w:val="105"/>
          <w:sz w:val="20"/>
          <w:szCs w:val="20"/>
        </w:rPr>
        <w:tab/>
      </w:r>
    </w:p>
    <w:p w:rsidR="00282387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  <w:r w:rsidRPr="002E6BE3">
        <w:rPr>
          <w:rFonts w:eastAsia="Arial" w:cstheme="minorHAnsi"/>
          <w:w w:val="105"/>
          <w:sz w:val="20"/>
          <w:szCs w:val="20"/>
        </w:rPr>
        <w:t>Para más información puede dirigirse a la guía de procedimientos y servicios publicada en:</w:t>
      </w:r>
      <w:r>
        <w:rPr>
          <w:rFonts w:eastAsia="Arial" w:cstheme="minorHAnsi"/>
          <w:w w:val="105"/>
          <w:sz w:val="20"/>
          <w:szCs w:val="20"/>
        </w:rPr>
        <w:t xml:space="preserve"> </w:t>
      </w:r>
      <w:hyperlink r:id="rId11" w:history="1">
        <w:r w:rsidRPr="00CB4E79">
          <w:rPr>
            <w:rStyle w:val="Hipervnculo"/>
            <w:rFonts w:eastAsia="Arial" w:cstheme="minorHAnsi"/>
            <w:w w:val="105"/>
            <w:sz w:val="20"/>
            <w:szCs w:val="20"/>
          </w:rPr>
          <w:t>https://sede.carm.es/web/pagina?IDCONTENIDO=2375&amp;IDTIPO=200&amp;RASTRO=c$m40288</w:t>
        </w:r>
      </w:hyperlink>
    </w:p>
    <w:p w:rsidR="00282387" w:rsidRPr="00E67081" w:rsidRDefault="00282387" w:rsidP="002823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Arial" w:cstheme="minorHAnsi"/>
          <w:w w:val="105"/>
          <w:sz w:val="20"/>
          <w:szCs w:val="20"/>
        </w:rPr>
      </w:pPr>
    </w:p>
    <w:p w:rsidR="00282387" w:rsidRDefault="00282387" w:rsidP="00282387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:rsidR="00282387" w:rsidRDefault="00282387" w:rsidP="0028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>Ilmo. Sr. Director General de Juventud</w:t>
      </w:r>
    </w:p>
    <w:p w:rsidR="0019746C" w:rsidRDefault="0019746C"/>
    <w:sectPr w:rsidR="0019746C" w:rsidSect="00244494">
      <w:head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87" w:rsidRDefault="00282387" w:rsidP="0033118A">
      <w:pPr>
        <w:spacing w:after="0" w:line="240" w:lineRule="auto"/>
      </w:pPr>
      <w:r>
        <w:separator/>
      </w:r>
    </w:p>
  </w:endnote>
  <w:endnote w:type="continuationSeparator" w:id="0">
    <w:p w:rsidR="00282387" w:rsidRDefault="0028238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87" w:rsidRDefault="00282387" w:rsidP="0033118A">
      <w:pPr>
        <w:spacing w:after="0" w:line="240" w:lineRule="auto"/>
      </w:pPr>
      <w:r>
        <w:separator/>
      </w:r>
    </w:p>
  </w:footnote>
  <w:footnote w:type="continuationSeparator" w:id="0">
    <w:p w:rsidR="00282387" w:rsidRDefault="0028238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A6F0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933"/>
    <w:multiLevelType w:val="hybridMultilevel"/>
    <w:tmpl w:val="479452E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87"/>
    <w:rsid w:val="00047D79"/>
    <w:rsid w:val="00092DCF"/>
    <w:rsid w:val="000A6CBE"/>
    <w:rsid w:val="000B4103"/>
    <w:rsid w:val="0013104E"/>
    <w:rsid w:val="001353E8"/>
    <w:rsid w:val="0019746C"/>
    <w:rsid w:val="001C09B1"/>
    <w:rsid w:val="001F6198"/>
    <w:rsid w:val="0020548E"/>
    <w:rsid w:val="00235B81"/>
    <w:rsid w:val="00244494"/>
    <w:rsid w:val="00282387"/>
    <w:rsid w:val="002C71E3"/>
    <w:rsid w:val="0033118A"/>
    <w:rsid w:val="003C26F0"/>
    <w:rsid w:val="00455BB9"/>
    <w:rsid w:val="004E7DEE"/>
    <w:rsid w:val="005271AF"/>
    <w:rsid w:val="00546BB5"/>
    <w:rsid w:val="00681F44"/>
    <w:rsid w:val="006E3224"/>
    <w:rsid w:val="00752411"/>
    <w:rsid w:val="007A6F0B"/>
    <w:rsid w:val="00805E6D"/>
    <w:rsid w:val="008B55BB"/>
    <w:rsid w:val="008E3810"/>
    <w:rsid w:val="00A01ACF"/>
    <w:rsid w:val="00A441B7"/>
    <w:rsid w:val="00C44004"/>
    <w:rsid w:val="00D0196C"/>
    <w:rsid w:val="00E24715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23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375&amp;IDTIPO=200&amp;RASTRO=c$m4028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orm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v44a\Documents\Plantillas%20personalizadas%20de%20Office\Presidencia_Turismo_Cultura_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Presidencia_Turismo_Cultura_Deportes.dotx</Template>
  <TotalTime>0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2022-03-10T10:39:00Z</dcterms:created>
  <dcterms:modified xsi:type="dcterms:W3CDTF">2022-03-10T10:41:00Z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